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C8" w:rsidRPr="005146D6" w:rsidRDefault="00447E6D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146D6">
        <w:rPr>
          <w:rFonts w:ascii="Times New Roman" w:hAnsi="Times New Roman" w:cs="Times New Roman"/>
          <w:b/>
          <w:sz w:val="24"/>
          <w:szCs w:val="24"/>
        </w:rPr>
        <w:t>Остеопороз</w:t>
      </w:r>
      <w:proofErr w:type="spellEnd"/>
      <w:r w:rsidRPr="005146D6">
        <w:rPr>
          <w:rFonts w:ascii="Times New Roman" w:hAnsi="Times New Roman" w:cs="Times New Roman"/>
          <w:sz w:val="24"/>
          <w:szCs w:val="24"/>
        </w:rPr>
        <w:t xml:space="preserve"> </w:t>
      </w:r>
      <w:r w:rsidR="00A42047">
        <w:rPr>
          <w:rFonts w:ascii="Times New Roman" w:hAnsi="Times New Roman" w:cs="Times New Roman"/>
          <w:sz w:val="24"/>
          <w:szCs w:val="24"/>
        </w:rPr>
        <w:t>-</w:t>
      </w:r>
      <w:r w:rsidRPr="005146D6">
        <w:rPr>
          <w:rFonts w:ascii="Times New Roman" w:hAnsi="Times New Roman" w:cs="Times New Roman"/>
          <w:sz w:val="24"/>
          <w:szCs w:val="24"/>
        </w:rPr>
        <w:t xml:space="preserve"> одно из самых распространенных в мире заболеваний: ему подвержена </w:t>
      </w:r>
      <w:bookmarkEnd w:id="0"/>
      <w:r w:rsidRPr="005146D6">
        <w:rPr>
          <w:rFonts w:ascii="Times New Roman" w:hAnsi="Times New Roman" w:cs="Times New Roman"/>
          <w:sz w:val="24"/>
          <w:szCs w:val="24"/>
        </w:rPr>
        <w:t xml:space="preserve">каждая третья женщина и каждый восьмой мужчина. </w:t>
      </w:r>
      <w:r w:rsidRPr="005146D6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5146D6">
        <w:rPr>
          <w:rFonts w:ascii="Times New Roman" w:hAnsi="Times New Roman" w:cs="Times New Roman"/>
          <w:sz w:val="24"/>
          <w:szCs w:val="24"/>
        </w:rPr>
        <w:t xml:space="preserve"> в 80 странах мира отмечается </w:t>
      </w:r>
      <w:r w:rsidRPr="005146D6">
        <w:rPr>
          <w:rFonts w:ascii="Times New Roman" w:hAnsi="Times New Roman" w:cs="Times New Roman"/>
          <w:b/>
          <w:sz w:val="24"/>
          <w:szCs w:val="24"/>
        </w:rPr>
        <w:t>Всемирный день профилактики остеопороза.</w:t>
      </w:r>
      <w:r w:rsidRPr="005146D6">
        <w:rPr>
          <w:rFonts w:ascii="Times New Roman" w:hAnsi="Times New Roman" w:cs="Times New Roman"/>
          <w:sz w:val="24"/>
          <w:szCs w:val="24"/>
        </w:rPr>
        <w:t xml:space="preserve"> Этот день проводится ежегодно с целью донести до людей всего мира информацию о том, что: </w:t>
      </w:r>
      <w:proofErr w:type="spellStart"/>
      <w:r w:rsidRPr="005146D6">
        <w:rPr>
          <w:rFonts w:ascii="Times New Roman" w:hAnsi="Times New Roman" w:cs="Times New Roman"/>
          <w:b/>
          <w:sz w:val="24"/>
          <w:szCs w:val="24"/>
        </w:rPr>
        <w:t>остеопороз</w:t>
      </w:r>
      <w:proofErr w:type="spellEnd"/>
      <w:r w:rsidRPr="0051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DF">
        <w:rPr>
          <w:rFonts w:ascii="Times New Roman" w:hAnsi="Times New Roman" w:cs="Times New Roman"/>
          <w:b/>
          <w:sz w:val="24"/>
          <w:szCs w:val="24"/>
        </w:rPr>
        <w:t>-</w:t>
      </w:r>
      <w:r w:rsidRPr="005146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A2AFD" w:rsidRPr="005146D6">
        <w:rPr>
          <w:rFonts w:ascii="Times New Roman" w:hAnsi="Times New Roman" w:cs="Times New Roman"/>
          <w:b/>
          <w:sz w:val="24"/>
          <w:szCs w:val="24"/>
        </w:rPr>
        <w:t>тихая</w:t>
      </w:r>
      <w:r w:rsidRPr="005146D6">
        <w:rPr>
          <w:rFonts w:ascii="Times New Roman" w:hAnsi="Times New Roman" w:cs="Times New Roman"/>
          <w:b/>
          <w:sz w:val="24"/>
          <w:szCs w:val="24"/>
        </w:rPr>
        <w:t xml:space="preserve"> эпидемия»,</w:t>
      </w:r>
      <w:r w:rsidRPr="005146D6">
        <w:rPr>
          <w:rFonts w:ascii="Times New Roman" w:hAnsi="Times New Roman" w:cs="Times New Roman"/>
          <w:sz w:val="24"/>
          <w:szCs w:val="24"/>
        </w:rPr>
        <w:t xml:space="preserve"> при которой на протяжении длительного времени симптомы отсутствуют и лишь единственной жалобой может быть боль в спине. Заболевание выявляют в большой части случаев при развитии первого перелома.</w:t>
      </w:r>
    </w:p>
    <w:p w:rsidR="000A2AFD" w:rsidRPr="005146D6" w:rsidRDefault="00447E6D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t>В России</w:t>
      </w:r>
      <w:r w:rsidRPr="005146D6">
        <w:rPr>
          <w:rFonts w:ascii="Times New Roman" w:hAnsi="Times New Roman" w:cs="Times New Roman"/>
          <w:sz w:val="24"/>
          <w:szCs w:val="24"/>
        </w:rPr>
        <w:t xml:space="preserve"> среди лиц </w:t>
      </w:r>
      <w:r w:rsidRPr="005146D6">
        <w:rPr>
          <w:rFonts w:ascii="Times New Roman" w:hAnsi="Times New Roman" w:cs="Times New Roman"/>
          <w:b/>
          <w:sz w:val="24"/>
          <w:szCs w:val="24"/>
        </w:rPr>
        <w:t>в возрасте 50 лет и старше</w:t>
      </w:r>
      <w:r w:rsidRPr="005146D6">
        <w:rPr>
          <w:rFonts w:ascii="Times New Roman" w:hAnsi="Times New Roman" w:cs="Times New Roman"/>
          <w:sz w:val="24"/>
          <w:szCs w:val="24"/>
        </w:rPr>
        <w:t xml:space="preserve"> остеопороз выявляется у </w:t>
      </w:r>
      <w:r w:rsidRPr="005146D6">
        <w:rPr>
          <w:rFonts w:ascii="Times New Roman" w:hAnsi="Times New Roman" w:cs="Times New Roman"/>
          <w:b/>
          <w:sz w:val="24"/>
          <w:szCs w:val="24"/>
        </w:rPr>
        <w:t>34% женщин и 27% мужчин</w:t>
      </w:r>
      <w:r w:rsidRPr="005146D6">
        <w:rPr>
          <w:rFonts w:ascii="Times New Roman" w:hAnsi="Times New Roman" w:cs="Times New Roman"/>
          <w:sz w:val="24"/>
          <w:szCs w:val="24"/>
        </w:rPr>
        <w:t xml:space="preserve">. Частота остеопороза увеличивается с возрастом. В целом, остеопорозом страдают около </w:t>
      </w:r>
      <w:r w:rsidRPr="005146D6">
        <w:rPr>
          <w:rFonts w:ascii="Times New Roman" w:hAnsi="Times New Roman" w:cs="Times New Roman"/>
          <w:b/>
          <w:sz w:val="24"/>
          <w:szCs w:val="24"/>
        </w:rPr>
        <w:t>14 млн</w:t>
      </w:r>
      <w:r w:rsidR="000A2AFD" w:rsidRPr="005146D6">
        <w:rPr>
          <w:rFonts w:ascii="Times New Roman" w:hAnsi="Times New Roman" w:cs="Times New Roman"/>
          <w:sz w:val="24"/>
          <w:szCs w:val="24"/>
        </w:rPr>
        <w:t xml:space="preserve">. человек. </w:t>
      </w:r>
    </w:p>
    <w:p w:rsidR="0013559E" w:rsidRPr="005146D6" w:rsidRDefault="000A2AFD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t>Социальная значимость</w:t>
      </w:r>
      <w:r w:rsidRPr="00514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D6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5146D6">
        <w:rPr>
          <w:rFonts w:ascii="Times New Roman" w:hAnsi="Times New Roman" w:cs="Times New Roman"/>
          <w:sz w:val="24"/>
          <w:szCs w:val="24"/>
        </w:rPr>
        <w:t xml:space="preserve"> определяется его </w:t>
      </w:r>
      <w:r w:rsidRPr="005146D6">
        <w:rPr>
          <w:rFonts w:ascii="Times New Roman" w:hAnsi="Times New Roman" w:cs="Times New Roman"/>
          <w:b/>
          <w:sz w:val="24"/>
          <w:szCs w:val="24"/>
        </w:rPr>
        <w:t>последствиями</w:t>
      </w:r>
      <w:r w:rsidRPr="005146D6">
        <w:rPr>
          <w:rFonts w:ascii="Times New Roman" w:hAnsi="Times New Roman" w:cs="Times New Roman"/>
          <w:sz w:val="24"/>
          <w:szCs w:val="24"/>
        </w:rPr>
        <w:t xml:space="preserve"> </w:t>
      </w:r>
      <w:r w:rsidR="00983FCF">
        <w:rPr>
          <w:rFonts w:ascii="Times New Roman" w:hAnsi="Times New Roman" w:cs="Times New Roman"/>
          <w:sz w:val="24"/>
          <w:szCs w:val="24"/>
        </w:rPr>
        <w:t>-</w:t>
      </w:r>
      <w:r w:rsidRPr="005146D6">
        <w:rPr>
          <w:rFonts w:ascii="Times New Roman" w:hAnsi="Times New Roman" w:cs="Times New Roman"/>
          <w:sz w:val="24"/>
          <w:szCs w:val="24"/>
        </w:rPr>
        <w:t xml:space="preserve"> </w:t>
      </w:r>
      <w:r w:rsidRPr="005146D6">
        <w:rPr>
          <w:rFonts w:ascii="Times New Roman" w:hAnsi="Times New Roman" w:cs="Times New Roman"/>
          <w:b/>
          <w:sz w:val="24"/>
          <w:szCs w:val="24"/>
        </w:rPr>
        <w:t>переломами</w:t>
      </w:r>
      <w:r w:rsidRPr="005146D6">
        <w:rPr>
          <w:rFonts w:ascii="Times New Roman" w:hAnsi="Times New Roman" w:cs="Times New Roman"/>
          <w:sz w:val="24"/>
          <w:szCs w:val="24"/>
        </w:rPr>
        <w:t xml:space="preserve"> тел позвонков и костей периферического скелета. Наиболее типичными переломами вследствие остеопороза считаются переломы проксимального отдела бедренной кости, лучевой кости и переломы  позвонков, но также распространены переломы других крупных костей скелета (таза, ребер, грудины, голени, плечевой кости и т.д.)</w:t>
      </w:r>
    </w:p>
    <w:p w:rsidR="000A2AFD" w:rsidRPr="005146D6" w:rsidRDefault="000A2AFD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D6">
        <w:rPr>
          <w:rFonts w:ascii="Times New Roman" w:hAnsi="Times New Roman" w:cs="Times New Roman"/>
          <w:sz w:val="24"/>
          <w:szCs w:val="24"/>
        </w:rPr>
        <w:lastRenderedPageBreak/>
        <w:t xml:space="preserve">У пациентов, перенесших патологические переломы, </w:t>
      </w:r>
      <w:r w:rsidRPr="005146D6">
        <w:rPr>
          <w:rFonts w:ascii="Times New Roman" w:hAnsi="Times New Roman" w:cs="Times New Roman"/>
          <w:b/>
          <w:sz w:val="24"/>
          <w:szCs w:val="24"/>
        </w:rPr>
        <w:t>снижается качество жизни</w:t>
      </w:r>
      <w:r w:rsidRPr="005146D6">
        <w:rPr>
          <w:rFonts w:ascii="Times New Roman" w:hAnsi="Times New Roman" w:cs="Times New Roman"/>
          <w:sz w:val="24"/>
          <w:szCs w:val="24"/>
        </w:rPr>
        <w:t>, которое лишь частично восстанавливается в среднем через 12- 24 месяца в зависимо</w:t>
      </w:r>
      <w:r w:rsidR="00146812" w:rsidRPr="005146D6">
        <w:rPr>
          <w:rFonts w:ascii="Times New Roman" w:hAnsi="Times New Roman" w:cs="Times New Roman"/>
          <w:sz w:val="24"/>
          <w:szCs w:val="24"/>
        </w:rPr>
        <w:t>сти от локализации перелома</w:t>
      </w:r>
      <w:r w:rsidRPr="005146D6">
        <w:rPr>
          <w:rFonts w:ascii="Times New Roman" w:hAnsi="Times New Roman" w:cs="Times New Roman"/>
          <w:sz w:val="24"/>
          <w:szCs w:val="24"/>
        </w:rPr>
        <w:t xml:space="preserve">. Так, среди лиц, выживших после перелома бедренной кости, </w:t>
      </w:r>
      <w:r w:rsidRPr="005146D6">
        <w:rPr>
          <w:rFonts w:ascii="Times New Roman" w:hAnsi="Times New Roman" w:cs="Times New Roman"/>
          <w:b/>
          <w:sz w:val="24"/>
          <w:szCs w:val="24"/>
        </w:rPr>
        <w:t>каждый третий</w:t>
      </w:r>
      <w:r w:rsidRPr="005146D6">
        <w:rPr>
          <w:rFonts w:ascii="Times New Roman" w:hAnsi="Times New Roman" w:cs="Times New Roman"/>
          <w:sz w:val="24"/>
          <w:szCs w:val="24"/>
        </w:rPr>
        <w:t xml:space="preserve"> утрачивает способность к самообслуживанию и нуждается</w:t>
      </w:r>
      <w:r w:rsidR="00146812" w:rsidRPr="005146D6">
        <w:rPr>
          <w:rFonts w:ascii="Times New Roman" w:hAnsi="Times New Roman" w:cs="Times New Roman"/>
          <w:sz w:val="24"/>
          <w:szCs w:val="24"/>
        </w:rPr>
        <w:t xml:space="preserve"> в длительном постоянном уходе.</w:t>
      </w:r>
    </w:p>
    <w:p w:rsidR="00146812" w:rsidRPr="005146D6" w:rsidRDefault="00146812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t>В Тульской области</w:t>
      </w:r>
      <w:r w:rsidRPr="005146D6">
        <w:rPr>
          <w:rFonts w:ascii="Times New Roman" w:hAnsi="Times New Roman" w:cs="Times New Roman"/>
          <w:sz w:val="24"/>
          <w:szCs w:val="24"/>
        </w:rPr>
        <w:t xml:space="preserve"> также регистрируется </w:t>
      </w:r>
      <w:r w:rsidRPr="005146D6">
        <w:rPr>
          <w:rFonts w:ascii="Times New Roman" w:hAnsi="Times New Roman" w:cs="Times New Roman"/>
          <w:b/>
          <w:sz w:val="24"/>
          <w:szCs w:val="24"/>
        </w:rPr>
        <w:t>высокая заболеваемость остеопорозом</w:t>
      </w:r>
      <w:r w:rsidRPr="005146D6">
        <w:rPr>
          <w:rFonts w:ascii="Times New Roman" w:hAnsi="Times New Roman" w:cs="Times New Roman"/>
          <w:sz w:val="24"/>
          <w:szCs w:val="24"/>
        </w:rPr>
        <w:t>, в 2020г. заболевание выявлено у четырёх с половиной тысяч жителей. </w:t>
      </w:r>
    </w:p>
    <w:p w:rsidR="0043726C" w:rsidRPr="005146D6" w:rsidRDefault="0043726C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proofErr w:type="spellStart"/>
      <w:r w:rsidRPr="005146D6">
        <w:rPr>
          <w:rFonts w:ascii="Times New Roman" w:hAnsi="Times New Roman" w:cs="Times New Roman"/>
          <w:b/>
          <w:sz w:val="24"/>
          <w:szCs w:val="24"/>
        </w:rPr>
        <w:t>остеопороза</w:t>
      </w:r>
      <w:proofErr w:type="spellEnd"/>
    </w:p>
    <w:p w:rsidR="0043726C" w:rsidRPr="005146D6" w:rsidRDefault="0043726C" w:rsidP="00983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всей жизни человека ег</w:t>
      </w: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скелет подвергается постоянному обновлению. Но уже после 30 лет</w:t>
      </w: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начинаются постепенные потери костной массы вследствие преобладания процессов разрушения, которое не компенсируется достаточным костеобразованием. Наступление менопаузы ускоряет разрушение костей, что связано с резким снижением уровня женских половых гормонов (эстрогенов). </w:t>
      </w:r>
    </w:p>
    <w:p w:rsidR="0043726C" w:rsidRPr="005146D6" w:rsidRDefault="0043726C" w:rsidP="00A420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</w:t>
      </w:r>
      <w:proofErr w:type="spellStart"/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</w:t>
      </w:r>
      <w:proofErr w:type="spellEnd"/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 </w:t>
      </w:r>
      <w:r w:rsidRPr="004372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первичный </w:t>
      </w:r>
      <w:r w:rsidRPr="0043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43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</w:t>
      </w:r>
      <w:r w:rsidRPr="0051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тменопаузальный</w:t>
      </w:r>
      <w:proofErr w:type="spellEnd"/>
      <w:r w:rsidRPr="0051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старческий),</w:t>
      </w:r>
      <w:r w:rsidR="00904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46D6">
        <w:rPr>
          <w:rFonts w:ascii="Times New Roman" w:hAnsi="Times New Roman" w:cs="Times New Roman"/>
          <w:sz w:val="24"/>
          <w:szCs w:val="24"/>
        </w:rPr>
        <w:t>занимает 95% в структуре остеопороза у женщин в постменопаузе и 80% в структуре остеопороза у мужчин старше 50 лет</w:t>
      </w:r>
    </w:p>
    <w:p w:rsidR="00146812" w:rsidRPr="005146D6" w:rsidRDefault="00227EE2" w:rsidP="00A4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Вторичный </w:t>
      </w:r>
      <w:proofErr w:type="spellStart"/>
      <w:r w:rsidRPr="005146D6">
        <w:rPr>
          <w:rFonts w:ascii="Times New Roman" w:hAnsi="Times New Roman" w:cs="Times New Roman"/>
          <w:b/>
          <w:sz w:val="24"/>
          <w:szCs w:val="24"/>
        </w:rPr>
        <w:t>остеопороз</w:t>
      </w:r>
      <w:proofErr w:type="spellEnd"/>
      <w:r w:rsidRPr="005146D6">
        <w:rPr>
          <w:rFonts w:ascii="Times New Roman" w:hAnsi="Times New Roman" w:cs="Times New Roman"/>
          <w:sz w:val="24"/>
          <w:szCs w:val="24"/>
        </w:rPr>
        <w:t xml:space="preserve"> развивается вследствие различных заболеваний или состояний, а также приема лекарственных средств, то есть имеется конкретная причина, прив</w:t>
      </w:r>
      <w:r w:rsidR="0043726C" w:rsidRPr="005146D6">
        <w:rPr>
          <w:rFonts w:ascii="Times New Roman" w:hAnsi="Times New Roman" w:cs="Times New Roman"/>
          <w:sz w:val="24"/>
          <w:szCs w:val="24"/>
        </w:rPr>
        <w:t>одящая к остеопорозу</w:t>
      </w:r>
      <w:r w:rsidRPr="005146D6">
        <w:rPr>
          <w:rFonts w:ascii="Times New Roman" w:hAnsi="Times New Roman" w:cs="Times New Roman"/>
          <w:sz w:val="24"/>
          <w:szCs w:val="24"/>
        </w:rPr>
        <w:t>. В структуре остеопороза вторичный остеопороз занимает 5% у женщин и 20% у мужчин</w:t>
      </w:r>
    </w:p>
    <w:p w:rsidR="00146812" w:rsidRPr="005146D6" w:rsidRDefault="0043726C" w:rsidP="00A42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D6">
        <w:rPr>
          <w:rFonts w:ascii="Times New Roman" w:hAnsi="Times New Roman" w:cs="Times New Roman"/>
          <w:b/>
          <w:sz w:val="24"/>
          <w:szCs w:val="24"/>
        </w:rPr>
        <w:t>Факторы риска развития остеопороза</w:t>
      </w:r>
    </w:p>
    <w:p w:rsidR="0043726C" w:rsidRPr="005146D6" w:rsidRDefault="0043726C" w:rsidP="00A4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Неуправляемые</w:t>
      </w:r>
      <w:r w:rsidRPr="0043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зависят от самого человека: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минеральная плотность костной ткани;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пол;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старше 65 лет;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остеопороза и/или переломов при небольшой травме у родственников (мать, отец, сестра) в возрасте 50 лет и старше;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предшествующие переломы;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эндокринные</w:t>
      </w:r>
      <w:r w:rsidR="006B32A2"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желудочно-кишечные, неврологические </w:t>
      </w: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заболевания;</w:t>
      </w:r>
    </w:p>
    <w:p w:rsidR="0043726C" w:rsidRPr="005146D6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(в том числе хирургическая) менопауза у женщин;</w:t>
      </w:r>
    </w:p>
    <w:p w:rsidR="0043726C" w:rsidRPr="0043726C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индекс массы тела и/или низкий вес;</w:t>
      </w:r>
    </w:p>
    <w:p w:rsidR="0043726C" w:rsidRPr="005146D6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длительный </w:t>
      </w: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некоторых лекарственных средств </w:t>
      </w:r>
      <w:r w:rsidR="006B32A2"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т.ч. </w:t>
      </w:r>
      <w:proofErr w:type="spellStart"/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глюкокортикоидов</w:t>
      </w:r>
      <w:proofErr w:type="spellEnd"/>
      <w:r w:rsidR="006B32A2"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3726C" w:rsidRPr="005146D6" w:rsidRDefault="0043726C" w:rsidP="00A4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длительная иммобилизация (постельный режим более 2 месяцев).</w:t>
      </w:r>
    </w:p>
    <w:p w:rsidR="006B32A2" w:rsidRPr="005146D6" w:rsidRDefault="006B32A2" w:rsidP="00A4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Управляемые</w:t>
      </w: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3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зависят от образа жизни и поведения и могут быть устранены: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потребление кальция;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витамина D;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курение;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алкоголем;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физическая активность;</w:t>
      </w:r>
    </w:p>
    <w:p w:rsidR="006B32A2" w:rsidRPr="005146D6" w:rsidRDefault="006B32A2" w:rsidP="00A420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падениям.</w:t>
      </w:r>
    </w:p>
    <w:p w:rsidR="006B32A2" w:rsidRPr="005146D6" w:rsidRDefault="006B32A2" w:rsidP="00A4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проявления остеопороза</w:t>
      </w:r>
    </w:p>
    <w:p w:rsidR="0034553C" w:rsidRPr="005146D6" w:rsidRDefault="0034553C" w:rsidP="00983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Ранние симптомы </w:t>
      </w:r>
      <w:proofErr w:type="spellStart"/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остеопороза</w:t>
      </w:r>
      <w:proofErr w:type="spellEnd"/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неспецифичны, в силу чего не позволяют вовремя заподозрить развитие этого заболевания:</w:t>
      </w:r>
    </w:p>
    <w:p w:rsidR="0034553C" w:rsidRPr="005146D6" w:rsidRDefault="0034553C" w:rsidP="00A42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болезненные ощущения в костях, особенно при смене погоды;</w:t>
      </w:r>
    </w:p>
    <w:p w:rsidR="0034553C" w:rsidRPr="005146D6" w:rsidRDefault="0034553C" w:rsidP="00A42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ломкость костей;</w:t>
      </w:r>
    </w:p>
    <w:p w:rsidR="0034553C" w:rsidRPr="005146D6" w:rsidRDefault="0034553C" w:rsidP="00A42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утомляемость;</w:t>
      </w:r>
    </w:p>
    <w:p w:rsidR="0034553C" w:rsidRPr="005146D6" w:rsidRDefault="0034553C" w:rsidP="00A4204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болезненное сокращение мышц голеней по ночам.</w:t>
      </w:r>
    </w:p>
    <w:p w:rsidR="0034553C" w:rsidRPr="005146D6" w:rsidRDefault="0034553C" w:rsidP="00983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проявления </w:t>
      </w:r>
      <w:proofErr w:type="spellStart"/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остеопороза</w:t>
      </w:r>
      <w:proofErr w:type="spellEnd"/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более поздних стадиях связаны с повреждением позвоночника и других костей.</w:t>
      </w:r>
    </w:p>
    <w:p w:rsidR="0034553C" w:rsidRPr="005146D6" w:rsidRDefault="0034553C" w:rsidP="00A4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симптомы остеопороза позвоночника</w:t>
      </w:r>
    </w:p>
    <w:p w:rsidR="0034553C" w:rsidRPr="005146D6" w:rsidRDefault="0034553C" w:rsidP="00A42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тупые боли в области деформации позвонков (могут иметь характер приступов);</w:t>
      </w:r>
    </w:p>
    <w:p w:rsidR="0034553C" w:rsidRPr="005146D6" w:rsidRDefault="0034553C" w:rsidP="00A42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формы позвоночника (</w:t>
      </w:r>
      <w:hyperlink r:id="rId5" w:tooltip="Искривление позвоночника (сколиоз, кифоз, лордоз)" w:history="1">
        <w:r w:rsidRPr="005146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сколиоз</w:t>
        </w:r>
      </w:hyperlink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сутулости, уменьшение роста);</w:t>
      </w:r>
    </w:p>
    <w:p w:rsidR="0034553C" w:rsidRPr="005146D6" w:rsidRDefault="0034553C" w:rsidP="00A42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горба;</w:t>
      </w:r>
    </w:p>
    <w:p w:rsidR="0034553C" w:rsidRPr="005146D6" w:rsidRDefault="0034553C" w:rsidP="00A42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и тяжесть в грудном и поясничном отделах (поясничный остеопороз).</w:t>
      </w:r>
    </w:p>
    <w:p w:rsidR="0034553C" w:rsidRPr="005146D6" w:rsidRDefault="0034553C" w:rsidP="00A42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53C" w:rsidRPr="0034553C" w:rsidRDefault="0034553C" w:rsidP="00A4204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остеопороза</w:t>
      </w:r>
    </w:p>
    <w:p w:rsidR="00E118D1" w:rsidRPr="005146D6" w:rsidRDefault="0034553C" w:rsidP="00983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 </w:t>
      </w:r>
      <w:proofErr w:type="spellStart"/>
      <w:r w:rsidRPr="00345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</w:t>
      </w:r>
      <w:proofErr w:type="spellEnd"/>
      <w:r w:rsidRPr="0034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выяв</w:t>
      </w: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изменений </w:t>
      </w: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</w:t>
      </w:r>
      <w:r w:rsidRPr="00345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костной ткани и </w:t>
      </w:r>
      <w:r w:rsidRPr="00345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в с</w:t>
      </w:r>
      <w:r w:rsidR="00E118D1"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проведение следующих методов:</w:t>
      </w:r>
    </w:p>
    <w:p w:rsidR="00E118D1" w:rsidRPr="005146D6" w:rsidRDefault="00E118D1" w:rsidP="00A420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Рентгеновская денситометрия- «золотой» стандарт диагностики остеопороза;</w:t>
      </w:r>
    </w:p>
    <w:p w:rsidR="00E118D1" w:rsidRPr="005146D6" w:rsidRDefault="0014784F" w:rsidP="00A420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Рентген позвоночника" w:history="1">
        <w:r w:rsidR="0034553C" w:rsidRPr="00514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рентгенография</w:t>
        </w:r>
      </w:hyperlink>
      <w:r w:rsidR="00E118D1"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8D1" w:rsidRPr="005146D6" w:rsidRDefault="00E118D1" w:rsidP="00A420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томография;</w:t>
      </w:r>
    </w:p>
    <w:p w:rsidR="00E118D1" w:rsidRPr="005146D6" w:rsidRDefault="0014784F" w:rsidP="00A420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Магнитно-резонансная томография (МРТ) позвоночника" w:history="1">
        <w:r w:rsidR="0034553C" w:rsidRPr="00514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МРТ</w:t>
        </w:r>
      </w:hyperlink>
      <w:r w:rsidR="00E118D1"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26C" w:rsidRPr="005146D6" w:rsidRDefault="0014784F" w:rsidP="00A4204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Лабораторная диагностика" w:history="1">
        <w:r w:rsidR="0034553C" w:rsidRPr="00514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 крови</w:t>
        </w:r>
      </w:hyperlink>
    </w:p>
    <w:p w:rsidR="005146D6" w:rsidRPr="005146D6" w:rsidRDefault="005146D6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своевременного выявления заболевания можно получить консультацию врачей ревматологов и пройти необходимые обследования на базе ГУЗ «ГКБ № 2 г</w:t>
      </w:r>
      <w:proofErr w:type="gramStart"/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1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 имени Е.Г.Лазарева</w:t>
      </w:r>
    </w:p>
    <w:p w:rsidR="00E118D1" w:rsidRDefault="005146D6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4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</w:t>
      </w:r>
      <w:r w:rsidR="00E118D1" w:rsidRPr="00514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пройти медицинское обследование можно в </w:t>
      </w:r>
      <w:r w:rsidR="00E118D1" w:rsidRPr="005146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Центре профилактики остеопороза</w:t>
      </w:r>
      <w:r w:rsidR="00E118D1" w:rsidRPr="00514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функционирует в клинико-диагностическом центре Тульской областной клинической больницы по адресу: г</w:t>
      </w:r>
      <w:proofErr w:type="gramStart"/>
      <w:r w:rsidR="00E118D1" w:rsidRPr="00514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.Т</w:t>
      </w:r>
      <w:proofErr w:type="gramEnd"/>
      <w:r w:rsidR="00E118D1" w:rsidRPr="005146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ула, ул.Ф.Энгельса, д.58.</w:t>
      </w: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047" w:rsidRP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A4204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Памятку подготовила врач-ревматолог ГУЗ «ГКБ №2 г</w:t>
      </w:r>
      <w:proofErr w:type="gramStart"/>
      <w:r w:rsidRPr="00A4204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.Т</w:t>
      </w:r>
      <w:proofErr w:type="gramEnd"/>
      <w:r w:rsidRPr="00A4204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улы имени Е.Г. Лазарева» Плахова А.О.</w:t>
      </w:r>
    </w:p>
    <w:p w:rsidR="005146D6" w:rsidRDefault="005146D6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047" w:rsidRPr="00A42047" w:rsidRDefault="00A42047" w:rsidP="00A420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04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75" cy="485775"/>
            <wp:effectExtent l="0" t="0" r="0" b="0"/>
            <wp:docPr id="6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0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2047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 «Городская клиническая больница № 2 г. Тулы</w:t>
      </w:r>
    </w:p>
    <w:p w:rsidR="00A42047" w:rsidRPr="00A42047" w:rsidRDefault="00A42047" w:rsidP="00A420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047">
        <w:rPr>
          <w:rFonts w:ascii="Times New Roman" w:hAnsi="Times New Roman" w:cs="Times New Roman"/>
          <w:b/>
          <w:i/>
          <w:sz w:val="24"/>
          <w:szCs w:val="24"/>
        </w:rPr>
        <w:t xml:space="preserve">  имени Е. Г. Лазарева»</w:t>
      </w: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047" w:rsidRPr="009041DF" w:rsidRDefault="009041DF" w:rsidP="001B1196">
      <w:pPr>
        <w:pStyle w:val="a4"/>
        <w:shd w:val="clear" w:color="auto" w:fill="FFFFFF"/>
        <w:spacing w:before="100" w:beforeAutospacing="1" w:after="15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Причины, факторы риска, симптомы,</w:t>
      </w:r>
      <w:r w:rsidR="001B11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4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профилактика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остеопороза</w:t>
      </w:r>
      <w:proofErr w:type="spellEnd"/>
    </w:p>
    <w:p w:rsidR="00A42047" w:rsidRDefault="00A42047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41DF" w:rsidRDefault="009041DF" w:rsidP="00A42047">
      <w:pPr>
        <w:pStyle w:val="a4"/>
        <w:shd w:val="clear" w:color="auto" w:fill="FFFFFF"/>
        <w:spacing w:before="100" w:beforeAutospacing="1" w:after="15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18D1" w:rsidRDefault="00A42047" w:rsidP="00A42047">
      <w:pPr>
        <w:shd w:val="clear" w:color="auto" w:fill="FFFFFF"/>
        <w:spacing w:before="100" w:beforeAutospacing="1" w:after="15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2175" cy="2114550"/>
            <wp:effectExtent l="19050" t="0" r="9525" b="0"/>
            <wp:docPr id="1" name="Рисунок 1" descr="C:\Documents and Settings\op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DF" w:rsidRDefault="009041DF" w:rsidP="009041DF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041DF" w:rsidRDefault="009041DF" w:rsidP="009041DF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1DF" w:rsidRPr="005146D6" w:rsidRDefault="009041DF" w:rsidP="009041DF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(Памятка для населения)</w:t>
      </w:r>
    </w:p>
    <w:sectPr w:rsidR="009041DF" w:rsidRPr="005146D6" w:rsidSect="00A42047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AE9"/>
    <w:multiLevelType w:val="multilevel"/>
    <w:tmpl w:val="71B2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74BAD"/>
    <w:multiLevelType w:val="multilevel"/>
    <w:tmpl w:val="E75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D7976"/>
    <w:multiLevelType w:val="multilevel"/>
    <w:tmpl w:val="D2B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43346"/>
    <w:multiLevelType w:val="hybridMultilevel"/>
    <w:tmpl w:val="6B3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90C40"/>
    <w:multiLevelType w:val="multilevel"/>
    <w:tmpl w:val="6F4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558F2"/>
    <w:multiLevelType w:val="multilevel"/>
    <w:tmpl w:val="FA1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FB"/>
    <w:rsid w:val="000A2AFD"/>
    <w:rsid w:val="00101B97"/>
    <w:rsid w:val="0013559E"/>
    <w:rsid w:val="00146812"/>
    <w:rsid w:val="0014784F"/>
    <w:rsid w:val="001B1196"/>
    <w:rsid w:val="00227EE2"/>
    <w:rsid w:val="0034553C"/>
    <w:rsid w:val="0043726C"/>
    <w:rsid w:val="00447E6D"/>
    <w:rsid w:val="005146D6"/>
    <w:rsid w:val="00586140"/>
    <w:rsid w:val="006B32A2"/>
    <w:rsid w:val="009041DF"/>
    <w:rsid w:val="00983FCF"/>
    <w:rsid w:val="00A209FA"/>
    <w:rsid w:val="00A42047"/>
    <w:rsid w:val="00C1393F"/>
    <w:rsid w:val="00C8759D"/>
    <w:rsid w:val="00D93818"/>
    <w:rsid w:val="00E118D1"/>
    <w:rsid w:val="00E526FB"/>
    <w:rsid w:val="00F2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1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city.ru/directions/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city.ru/directions/4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city.ru/directions/5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diccity.ru/directions/51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Плахова Анжела Октаевна</dc:creator>
  <cp:keywords/>
  <dc:description/>
  <cp:lastModifiedBy>OPERR</cp:lastModifiedBy>
  <cp:revision>5</cp:revision>
  <cp:lastPrinted>2020-10-16T08:01:00Z</cp:lastPrinted>
  <dcterms:created xsi:type="dcterms:W3CDTF">2020-10-16T08:30:00Z</dcterms:created>
  <dcterms:modified xsi:type="dcterms:W3CDTF">2021-09-15T09:28:00Z</dcterms:modified>
</cp:coreProperties>
</file>